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96" w:rsidRPr="0041779C" w:rsidRDefault="004E6B96" w:rsidP="004E6B96">
      <w:pPr>
        <w:pStyle w:val="Header"/>
      </w:pPr>
      <w:r w:rsidRPr="006750CD">
        <w:t>Indian Journal of Basic and Applied Medical Research; June 2016: Vol.-5,</w:t>
      </w:r>
      <w:r w:rsidR="0019063D">
        <w:t xml:space="preserve"> Issue- 3, P. </w:t>
      </w:r>
      <w:r w:rsidR="007E5930">
        <w:t>290-299</w:t>
      </w:r>
    </w:p>
    <w:p w:rsidR="004E6B96" w:rsidRDefault="004E6B96" w:rsidP="004E6B96">
      <w:pPr>
        <w:pStyle w:val="Header"/>
      </w:pPr>
    </w:p>
    <w:p w:rsidR="007E5930" w:rsidRPr="00CC64A7" w:rsidRDefault="007E5930" w:rsidP="007E5930">
      <w:pPr>
        <w:spacing w:after="0" w:line="360" w:lineRule="auto"/>
        <w:rPr>
          <w:b/>
        </w:rPr>
      </w:pPr>
      <w:r w:rsidRPr="00CC64A7">
        <w:rPr>
          <w:b/>
          <w:highlight w:val="lightGray"/>
        </w:rPr>
        <w:t>Original article:</w:t>
      </w:r>
    </w:p>
    <w:p w:rsidR="007E5930" w:rsidRPr="00CC64A7" w:rsidRDefault="007E5930" w:rsidP="007E5930">
      <w:pPr>
        <w:spacing w:after="0" w:line="360" w:lineRule="auto"/>
        <w:rPr>
          <w:b/>
          <w:color w:val="1F497D" w:themeColor="text2"/>
        </w:rPr>
      </w:pPr>
      <w:r w:rsidRPr="00CC64A7">
        <w:rPr>
          <w:b/>
          <w:color w:val="1F497D" w:themeColor="text2"/>
        </w:rPr>
        <w:t xml:space="preserve">Comparison of </w:t>
      </w:r>
      <w:r>
        <w:rPr>
          <w:b/>
          <w:color w:val="1F497D" w:themeColor="text2"/>
        </w:rPr>
        <w:t>clinical efficacy of hyperbaric s</w:t>
      </w:r>
      <w:r w:rsidRPr="00CC64A7">
        <w:rPr>
          <w:b/>
          <w:color w:val="1F497D" w:themeColor="text2"/>
        </w:rPr>
        <w:t xml:space="preserve">olution of </w:t>
      </w:r>
      <w:proofErr w:type="spellStart"/>
      <w:r>
        <w:rPr>
          <w:b/>
          <w:color w:val="1F497D" w:themeColor="text2"/>
        </w:rPr>
        <w:t>r</w:t>
      </w:r>
      <w:r w:rsidRPr="00CC64A7">
        <w:rPr>
          <w:b/>
          <w:color w:val="1F497D" w:themeColor="text2"/>
        </w:rPr>
        <w:t>opivacaine</w:t>
      </w:r>
      <w:proofErr w:type="spellEnd"/>
      <w:r>
        <w:rPr>
          <w:b/>
          <w:color w:val="1F497D" w:themeColor="text2"/>
        </w:rPr>
        <w:t xml:space="preserve"> </w:t>
      </w:r>
      <w:r w:rsidRPr="00CC64A7">
        <w:rPr>
          <w:b/>
          <w:color w:val="1F497D" w:themeColor="text2"/>
        </w:rPr>
        <w:t xml:space="preserve">with </w:t>
      </w:r>
      <w:r>
        <w:rPr>
          <w:b/>
          <w:color w:val="1F497D" w:themeColor="text2"/>
        </w:rPr>
        <w:t xml:space="preserve">hyperbaric </w:t>
      </w:r>
      <w:proofErr w:type="spellStart"/>
      <w:r>
        <w:rPr>
          <w:b/>
          <w:color w:val="1F497D" w:themeColor="text2"/>
        </w:rPr>
        <w:t>b</w:t>
      </w:r>
      <w:r w:rsidRPr="00CC64A7">
        <w:rPr>
          <w:b/>
          <w:color w:val="1F497D" w:themeColor="text2"/>
        </w:rPr>
        <w:t>upivacaine</w:t>
      </w:r>
      <w:proofErr w:type="spellEnd"/>
      <w:r w:rsidRPr="00CC64A7">
        <w:rPr>
          <w:b/>
          <w:color w:val="1F497D" w:themeColor="text2"/>
        </w:rPr>
        <w:t xml:space="preserve"> </w:t>
      </w:r>
      <w:r>
        <w:rPr>
          <w:b/>
          <w:color w:val="1F497D" w:themeColor="text2"/>
        </w:rPr>
        <w:t>in spinal a</w:t>
      </w:r>
      <w:r w:rsidRPr="00CC64A7">
        <w:rPr>
          <w:b/>
          <w:color w:val="1F497D" w:themeColor="text2"/>
        </w:rPr>
        <w:t xml:space="preserve">nesthesia in </w:t>
      </w:r>
      <w:r>
        <w:rPr>
          <w:b/>
          <w:color w:val="1F497D" w:themeColor="text2"/>
        </w:rPr>
        <w:t>transurethral r</w:t>
      </w:r>
      <w:r w:rsidRPr="00CC64A7">
        <w:rPr>
          <w:b/>
          <w:color w:val="1F497D" w:themeColor="text2"/>
        </w:rPr>
        <w:t xml:space="preserve">esection of </w:t>
      </w:r>
      <w:r>
        <w:rPr>
          <w:b/>
          <w:color w:val="1F497D" w:themeColor="text2"/>
        </w:rPr>
        <w:t>p</w:t>
      </w:r>
      <w:r w:rsidRPr="00CC64A7">
        <w:rPr>
          <w:b/>
          <w:color w:val="1F497D" w:themeColor="text2"/>
        </w:rPr>
        <w:t xml:space="preserve">rostate </w:t>
      </w:r>
    </w:p>
    <w:p w:rsidR="007E5930" w:rsidRPr="00CC64A7" w:rsidRDefault="007E5930" w:rsidP="007E5930">
      <w:pPr>
        <w:spacing w:after="0" w:line="360" w:lineRule="auto"/>
        <w:rPr>
          <w:b/>
          <w:sz w:val="22"/>
          <w:szCs w:val="22"/>
        </w:rPr>
      </w:pPr>
      <w:proofErr w:type="spellStart"/>
      <w:r w:rsidRPr="00CC64A7">
        <w:rPr>
          <w:b/>
          <w:sz w:val="22"/>
          <w:szCs w:val="22"/>
        </w:rPr>
        <w:t>Dr.Rahul</w:t>
      </w:r>
      <w:proofErr w:type="spellEnd"/>
      <w:r w:rsidRPr="00CC64A7">
        <w:rPr>
          <w:b/>
          <w:sz w:val="22"/>
          <w:szCs w:val="22"/>
        </w:rPr>
        <w:t xml:space="preserve"> Maria</w:t>
      </w:r>
      <w:r w:rsidRPr="00CC64A7">
        <w:rPr>
          <w:b/>
          <w:sz w:val="22"/>
          <w:szCs w:val="22"/>
          <w:vertAlign w:val="superscript"/>
        </w:rPr>
        <w:t>1</w:t>
      </w:r>
      <w:r w:rsidRPr="00CC64A7">
        <w:rPr>
          <w:b/>
          <w:sz w:val="22"/>
          <w:szCs w:val="22"/>
        </w:rPr>
        <w:t xml:space="preserve">, Dr. </w:t>
      </w:r>
      <w:proofErr w:type="spellStart"/>
      <w:r w:rsidRPr="00CC64A7">
        <w:rPr>
          <w:b/>
          <w:sz w:val="22"/>
          <w:szCs w:val="22"/>
        </w:rPr>
        <w:t>Chinar</w:t>
      </w:r>
      <w:proofErr w:type="spellEnd"/>
      <w:r w:rsidRPr="00CC64A7">
        <w:rPr>
          <w:b/>
          <w:sz w:val="22"/>
          <w:szCs w:val="22"/>
        </w:rPr>
        <w:t xml:space="preserve"> Patel</w:t>
      </w:r>
      <w:r>
        <w:rPr>
          <w:b/>
          <w:sz w:val="22"/>
          <w:szCs w:val="22"/>
        </w:rPr>
        <w:t xml:space="preserve"> </w:t>
      </w:r>
      <w:r w:rsidRPr="00CC64A7">
        <w:rPr>
          <w:b/>
          <w:sz w:val="22"/>
          <w:szCs w:val="22"/>
          <w:vertAlign w:val="superscript"/>
        </w:rPr>
        <w:t>2</w:t>
      </w:r>
      <w:bookmarkStart w:id="0" w:name="_GoBack"/>
      <w:bookmarkEnd w:id="0"/>
    </w:p>
    <w:p w:rsidR="007E5930" w:rsidRPr="00CC64A7" w:rsidRDefault="007E5930" w:rsidP="007E5930">
      <w:pPr>
        <w:spacing w:after="0" w:line="360" w:lineRule="auto"/>
      </w:pPr>
    </w:p>
    <w:p w:rsidR="007E5930" w:rsidRPr="00CC64A7" w:rsidRDefault="007E5930" w:rsidP="007E5930">
      <w:pPr>
        <w:spacing w:after="0" w:line="360" w:lineRule="auto"/>
      </w:pPr>
      <w:r w:rsidRPr="00CC64A7">
        <w:rPr>
          <w:vertAlign w:val="superscript"/>
        </w:rPr>
        <w:t>1</w:t>
      </w:r>
      <w:r w:rsidRPr="00CC64A7">
        <w:t>DM Resident, Department of Cardiac Anesthesia</w:t>
      </w:r>
      <w:r>
        <w:t xml:space="preserve">, </w:t>
      </w:r>
      <w:r w:rsidRPr="00CC64A7">
        <w:t xml:space="preserve">U. N. Mehta Institute of Cardiology and Research Center, </w:t>
      </w:r>
      <w:r>
        <w:t>Affiliated</w:t>
      </w:r>
      <w:r w:rsidRPr="00CC64A7">
        <w:t xml:space="preserve"> to B. J. Medical College</w:t>
      </w:r>
      <w:r>
        <w:t xml:space="preserve">, </w:t>
      </w:r>
      <w:r w:rsidRPr="00CC64A7">
        <w:t xml:space="preserve">New Civil Hospital Campus, </w:t>
      </w:r>
      <w:proofErr w:type="spellStart"/>
      <w:r w:rsidRPr="00CC64A7">
        <w:t>Asarwa</w:t>
      </w:r>
      <w:proofErr w:type="spellEnd"/>
      <w:r w:rsidRPr="00CC64A7">
        <w:t xml:space="preserve">, </w:t>
      </w:r>
      <w:proofErr w:type="spellStart"/>
      <w:r w:rsidRPr="00CC64A7">
        <w:t>Ahmedabad</w:t>
      </w:r>
      <w:proofErr w:type="spellEnd"/>
    </w:p>
    <w:p w:rsidR="007E5930" w:rsidRPr="00CC64A7" w:rsidRDefault="007E5930" w:rsidP="007E5930">
      <w:pPr>
        <w:spacing w:after="0" w:line="360" w:lineRule="auto"/>
      </w:pPr>
      <w:r w:rsidRPr="00CC64A7">
        <w:rPr>
          <w:vertAlign w:val="superscript"/>
        </w:rPr>
        <w:t>2</w:t>
      </w:r>
      <w:r w:rsidRPr="00CC64A7">
        <w:t xml:space="preserve">Professor, Department of </w:t>
      </w:r>
      <w:proofErr w:type="gramStart"/>
      <w:r w:rsidRPr="00CC64A7">
        <w:t>Anesthesia</w:t>
      </w:r>
      <w:r>
        <w:t xml:space="preserve"> ,</w:t>
      </w:r>
      <w:proofErr w:type="gramEnd"/>
      <w:r>
        <w:t xml:space="preserve"> </w:t>
      </w:r>
      <w:proofErr w:type="spellStart"/>
      <w:r w:rsidRPr="00CC64A7">
        <w:t>Smt.B.K.Shah</w:t>
      </w:r>
      <w:proofErr w:type="spellEnd"/>
      <w:r w:rsidRPr="00CC64A7">
        <w:t xml:space="preserve"> Medical Institute &amp; Research Centre &amp;</w:t>
      </w:r>
      <w:proofErr w:type="spellStart"/>
      <w:r w:rsidRPr="00CC64A7">
        <w:t>Dhiraj</w:t>
      </w:r>
      <w:proofErr w:type="spellEnd"/>
      <w:r w:rsidRPr="00CC64A7">
        <w:t xml:space="preserve"> Hospital</w:t>
      </w:r>
    </w:p>
    <w:p w:rsidR="007E5930" w:rsidRDefault="007E5930" w:rsidP="007E5930">
      <w:pPr>
        <w:pBdr>
          <w:bottom w:val="single" w:sz="6" w:space="1" w:color="auto"/>
        </w:pBdr>
        <w:spacing w:after="0" w:line="360" w:lineRule="auto"/>
      </w:pPr>
      <w:r w:rsidRPr="00CC64A7">
        <w:rPr>
          <w:b/>
        </w:rPr>
        <w:t xml:space="preserve">Corresponding </w:t>
      </w:r>
      <w:r>
        <w:rPr>
          <w:b/>
        </w:rPr>
        <w:t>a</w:t>
      </w:r>
      <w:r w:rsidRPr="00CC64A7">
        <w:rPr>
          <w:b/>
        </w:rPr>
        <w:t>uthor</w:t>
      </w:r>
      <w:r>
        <w:rPr>
          <w:b/>
        </w:rPr>
        <w:t xml:space="preserve">: </w:t>
      </w:r>
      <w:r w:rsidRPr="00CC64A7">
        <w:t xml:space="preserve">Dr. </w:t>
      </w:r>
      <w:proofErr w:type="spellStart"/>
      <w:r w:rsidRPr="00CC64A7">
        <w:t>Rahul</w:t>
      </w:r>
      <w:proofErr w:type="spellEnd"/>
      <w:r w:rsidRPr="00CC64A7">
        <w:t xml:space="preserve"> Maria</w:t>
      </w:r>
    </w:p>
    <w:p w:rsidR="007E5930" w:rsidRDefault="007E5930" w:rsidP="007E5930">
      <w:pPr>
        <w:widowControl w:val="0"/>
        <w:tabs>
          <w:tab w:val="left" w:pos="270"/>
        </w:tabs>
        <w:autoSpaceDE w:val="0"/>
        <w:autoSpaceDN w:val="0"/>
        <w:adjustRightInd w:val="0"/>
        <w:spacing w:after="0" w:line="360" w:lineRule="auto"/>
        <w:ind w:right="27"/>
        <w:rPr>
          <w:b/>
          <w:color w:val="000000" w:themeColor="text1"/>
        </w:rPr>
      </w:pPr>
    </w:p>
    <w:p w:rsidR="007E5930" w:rsidRPr="00CC64A7" w:rsidRDefault="007E5930" w:rsidP="007E5930">
      <w:pPr>
        <w:widowControl w:val="0"/>
        <w:tabs>
          <w:tab w:val="left" w:pos="270"/>
        </w:tabs>
        <w:autoSpaceDE w:val="0"/>
        <w:autoSpaceDN w:val="0"/>
        <w:adjustRightInd w:val="0"/>
        <w:spacing w:after="0" w:line="360" w:lineRule="auto"/>
        <w:ind w:right="27"/>
        <w:rPr>
          <w:b/>
          <w:color w:val="000000" w:themeColor="text1"/>
        </w:rPr>
      </w:pPr>
      <w:r w:rsidRPr="00CC64A7">
        <w:rPr>
          <w:b/>
          <w:color w:val="000000" w:themeColor="text1"/>
        </w:rPr>
        <w:t>Funding</w:t>
      </w:r>
      <w:r>
        <w:rPr>
          <w:b/>
          <w:color w:val="000000" w:themeColor="text1"/>
        </w:rPr>
        <w:t xml:space="preserve"> source: </w:t>
      </w:r>
    </w:p>
    <w:p w:rsidR="007E5930" w:rsidRDefault="007E5930" w:rsidP="007E5930">
      <w:pPr>
        <w:pBdr>
          <w:bottom w:val="single" w:sz="6" w:space="1" w:color="auto"/>
        </w:pBdr>
        <w:autoSpaceDE w:val="0"/>
        <w:autoSpaceDN w:val="0"/>
        <w:adjustRightInd w:val="0"/>
        <w:spacing w:after="0" w:line="360" w:lineRule="auto"/>
        <w:ind w:right="27"/>
        <w:rPr>
          <w:color w:val="000000" w:themeColor="text1"/>
        </w:rPr>
      </w:pPr>
      <w:r w:rsidRPr="00CC64A7">
        <w:rPr>
          <w:color w:val="000000" w:themeColor="text1"/>
        </w:rPr>
        <w:t xml:space="preserve">This work was supported by </w:t>
      </w:r>
      <w:proofErr w:type="spellStart"/>
      <w:r w:rsidRPr="00CC64A7">
        <w:rPr>
          <w:color w:val="000000" w:themeColor="text1"/>
        </w:rPr>
        <w:t>U.N.Mehta</w:t>
      </w:r>
      <w:proofErr w:type="spellEnd"/>
      <w:r w:rsidRPr="00CC64A7">
        <w:rPr>
          <w:color w:val="000000" w:themeColor="text1"/>
        </w:rPr>
        <w:t xml:space="preserve"> Institute of Cardiology and Research Center itself and received no specific grant from any funding agency, commercial or not-for-profit sectors.</w:t>
      </w:r>
    </w:p>
    <w:p w:rsidR="007E5930" w:rsidRPr="00CC64A7" w:rsidRDefault="007E5930" w:rsidP="007E5930">
      <w:pPr>
        <w:autoSpaceDE w:val="0"/>
        <w:autoSpaceDN w:val="0"/>
        <w:adjustRightInd w:val="0"/>
        <w:spacing w:after="0" w:line="360" w:lineRule="auto"/>
        <w:ind w:right="27"/>
        <w:rPr>
          <w:color w:val="000000" w:themeColor="text1"/>
        </w:rPr>
      </w:pPr>
    </w:p>
    <w:p w:rsidR="007E5930" w:rsidRPr="00CC64A7" w:rsidRDefault="007E5930" w:rsidP="007E5930">
      <w:pPr>
        <w:spacing w:after="0" w:line="360" w:lineRule="auto"/>
        <w:rPr>
          <w:b/>
        </w:rPr>
      </w:pPr>
      <w:r w:rsidRPr="00CC64A7">
        <w:rPr>
          <w:b/>
        </w:rPr>
        <w:t>Abstract</w:t>
      </w:r>
    </w:p>
    <w:p w:rsidR="007E5930" w:rsidRPr="00CC64A7" w:rsidRDefault="007E5930" w:rsidP="007E5930">
      <w:pPr>
        <w:spacing w:after="0" w:line="360" w:lineRule="auto"/>
        <w:rPr>
          <w:sz w:val="18"/>
          <w:szCs w:val="18"/>
          <w:lang w:val="it-IT"/>
        </w:rPr>
      </w:pPr>
      <w:r w:rsidRPr="00CC64A7">
        <w:rPr>
          <w:sz w:val="18"/>
          <w:szCs w:val="18"/>
        </w:rPr>
        <w:t xml:space="preserve">Objective: The stress response to surgery, </w:t>
      </w:r>
      <w:proofErr w:type="spellStart"/>
      <w:r w:rsidRPr="00CC64A7">
        <w:rPr>
          <w:sz w:val="18"/>
          <w:szCs w:val="18"/>
        </w:rPr>
        <w:t>anaesthesia</w:t>
      </w:r>
      <w:proofErr w:type="spellEnd"/>
      <w:r w:rsidRPr="00CC64A7">
        <w:rPr>
          <w:sz w:val="18"/>
          <w:szCs w:val="18"/>
        </w:rPr>
        <w:t xml:space="preserve"> and other injuries has been considered as the homeostatic defense mechanism, important for the body for adaptation and developing resistance to the noxious insults. General </w:t>
      </w:r>
      <w:proofErr w:type="spellStart"/>
      <w:r w:rsidRPr="00CC64A7">
        <w:rPr>
          <w:sz w:val="18"/>
          <w:szCs w:val="18"/>
        </w:rPr>
        <w:t>anaesthesia</w:t>
      </w:r>
      <w:proofErr w:type="spellEnd"/>
      <w:r w:rsidRPr="00CC64A7">
        <w:rPr>
          <w:sz w:val="18"/>
          <w:szCs w:val="18"/>
        </w:rPr>
        <w:t xml:space="preserve"> does not abolish the stress response completely. The current study was designed to compare the clinical efficacy of hyperbaric solution of </w:t>
      </w:r>
      <w:proofErr w:type="spellStart"/>
      <w:r w:rsidRPr="00CC64A7">
        <w:rPr>
          <w:sz w:val="18"/>
          <w:szCs w:val="18"/>
        </w:rPr>
        <w:t>Ropivacaine</w:t>
      </w:r>
      <w:proofErr w:type="spellEnd"/>
      <w:r w:rsidRPr="00CC64A7">
        <w:rPr>
          <w:sz w:val="18"/>
          <w:szCs w:val="18"/>
        </w:rPr>
        <w:t xml:space="preserve"> with that of commercially available preparation of Hyperbaric </w:t>
      </w:r>
      <w:proofErr w:type="spellStart"/>
      <w:r w:rsidRPr="00CC64A7">
        <w:rPr>
          <w:sz w:val="18"/>
          <w:szCs w:val="18"/>
        </w:rPr>
        <w:t>Bupivacaine</w:t>
      </w:r>
      <w:proofErr w:type="spellEnd"/>
      <w:r w:rsidRPr="00CC64A7">
        <w:rPr>
          <w:sz w:val="18"/>
          <w:szCs w:val="18"/>
        </w:rPr>
        <w:t xml:space="preserve"> </w:t>
      </w:r>
      <w:r w:rsidRPr="00CC64A7">
        <w:rPr>
          <w:sz w:val="18"/>
          <w:szCs w:val="18"/>
          <w:lang w:val="it-IT"/>
        </w:rPr>
        <w:t>in spinal anaesthesia in Transurethral Resection of Prostate (TURP).</w:t>
      </w:r>
    </w:p>
    <w:p w:rsidR="007E5930" w:rsidRPr="00CC64A7" w:rsidRDefault="007E5930" w:rsidP="007E5930">
      <w:pPr>
        <w:spacing w:after="0" w:line="360" w:lineRule="auto"/>
        <w:rPr>
          <w:sz w:val="18"/>
          <w:szCs w:val="18"/>
          <w:lang w:val="it-IT"/>
        </w:rPr>
      </w:pPr>
      <w:r w:rsidRPr="00CC64A7">
        <w:rPr>
          <w:sz w:val="18"/>
          <w:szCs w:val="18"/>
          <w:lang w:val="it-IT"/>
        </w:rPr>
        <w:t>Method: on 60 patients of ASA-I and II (American Society of Anaesthesiologist’s) classification between the ages of 40-80 years, posted for TURP. The patients were randomly divided into two equal groups according to the type of local anesthetic used. The study was prospective, double blind and interventional in nature.30 patients in Group R received 3ml of 0.5% ropivacaine (in glucose 8%).30 patients in Group B received 3ml of 0.5% hyperbaric bupivacaine. All the patients were observed for the sensory block and duration analgesia and intraoperative parameters.</w:t>
      </w:r>
    </w:p>
    <w:p w:rsidR="007E5930" w:rsidRPr="00CC64A7" w:rsidRDefault="007E5930" w:rsidP="007E5930">
      <w:pPr>
        <w:spacing w:after="0" w:line="360" w:lineRule="auto"/>
        <w:rPr>
          <w:sz w:val="18"/>
          <w:szCs w:val="18"/>
          <w:lang w:val="it-IT"/>
        </w:rPr>
      </w:pPr>
      <w:r w:rsidRPr="00CC64A7">
        <w:rPr>
          <w:sz w:val="18"/>
          <w:szCs w:val="18"/>
          <w:lang w:val="it-IT"/>
        </w:rPr>
        <w:t>Result: There no such siginificant result found between the group for the demographic data, intraoperative finding. But the duration for sensory block,motoblock and analgesia were found comparable between the group.</w:t>
      </w:r>
    </w:p>
    <w:p w:rsidR="007E5930" w:rsidRPr="00CC64A7" w:rsidRDefault="007E5930" w:rsidP="007E5930">
      <w:pPr>
        <w:spacing w:after="0" w:line="360" w:lineRule="auto"/>
        <w:rPr>
          <w:sz w:val="18"/>
          <w:szCs w:val="18"/>
          <w:lang w:val="it-IT"/>
        </w:rPr>
      </w:pPr>
      <w:r w:rsidRPr="00CC64A7">
        <w:rPr>
          <w:sz w:val="18"/>
          <w:szCs w:val="18"/>
          <w:lang w:val="it-IT"/>
        </w:rPr>
        <w:t>Conclusion:In our study, we have evaluated  the  efficacy  of  Hyberbaric Ropivacaine 0.5%  compared to   Hyperbaric Bupivacaine 0.5%   in spinal anaesthesia  for  Transuretheral resection of prostate, with respect to onset,  maximum  level of sensory and motor,  degree of  motor block  and duration of time  of  sensory and motor blocks, duration of analgesia, hemodynamic stability and side effects.</w:t>
      </w:r>
    </w:p>
    <w:p w:rsidR="007E5930" w:rsidRPr="00CC64A7" w:rsidRDefault="007E5930" w:rsidP="007E5930">
      <w:pPr>
        <w:pBdr>
          <w:bottom w:val="single" w:sz="6" w:space="1" w:color="auto"/>
        </w:pBdr>
        <w:spacing w:after="0" w:line="360" w:lineRule="auto"/>
        <w:rPr>
          <w:sz w:val="18"/>
          <w:szCs w:val="18"/>
        </w:rPr>
      </w:pPr>
      <w:r w:rsidRPr="00CC64A7">
        <w:rPr>
          <w:sz w:val="18"/>
          <w:szCs w:val="18"/>
        </w:rPr>
        <w:t xml:space="preserve">Key words: </w:t>
      </w:r>
      <w:r w:rsidRPr="00CC64A7">
        <w:rPr>
          <w:sz w:val="18"/>
          <w:szCs w:val="18"/>
          <w:lang w:val="it-IT"/>
        </w:rPr>
        <w:t>Transurethral Resection of Prostate</w:t>
      </w:r>
      <w:proofErr w:type="gramStart"/>
      <w:r w:rsidRPr="00CC64A7">
        <w:rPr>
          <w:sz w:val="18"/>
          <w:szCs w:val="18"/>
          <w:lang w:val="it-IT"/>
        </w:rPr>
        <w:t>,</w:t>
      </w:r>
      <w:proofErr w:type="spellStart"/>
      <w:r w:rsidRPr="00CC64A7">
        <w:rPr>
          <w:sz w:val="18"/>
          <w:szCs w:val="18"/>
        </w:rPr>
        <w:t>Ropivacaine,Hyperbaric</w:t>
      </w:r>
      <w:proofErr w:type="spellEnd"/>
      <w:proofErr w:type="gramEnd"/>
      <w:r w:rsidRPr="00CC64A7">
        <w:rPr>
          <w:sz w:val="18"/>
          <w:szCs w:val="18"/>
        </w:rPr>
        <w:t xml:space="preserve"> </w:t>
      </w:r>
      <w:proofErr w:type="spellStart"/>
      <w:r w:rsidRPr="00CC64A7">
        <w:rPr>
          <w:sz w:val="18"/>
          <w:szCs w:val="18"/>
        </w:rPr>
        <w:t>Bupivacaine</w:t>
      </w:r>
      <w:proofErr w:type="spellEnd"/>
      <w:r w:rsidRPr="00CC64A7">
        <w:rPr>
          <w:sz w:val="18"/>
          <w:szCs w:val="18"/>
        </w:rPr>
        <w:t xml:space="preserve"> </w:t>
      </w:r>
    </w:p>
    <w:p w:rsidR="0006104F" w:rsidRDefault="0006104F" w:rsidP="007E5930">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B96"/>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4845"/>
    <w:rsid w:val="00165C5F"/>
    <w:rsid w:val="0017111A"/>
    <w:rsid w:val="001730A0"/>
    <w:rsid w:val="001748A9"/>
    <w:rsid w:val="001759D4"/>
    <w:rsid w:val="0019063D"/>
    <w:rsid w:val="001958A0"/>
    <w:rsid w:val="0019756D"/>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87D38"/>
    <w:rsid w:val="002A52BF"/>
    <w:rsid w:val="002A5865"/>
    <w:rsid w:val="002B56CF"/>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A00C2"/>
    <w:rsid w:val="003A1A35"/>
    <w:rsid w:val="003A2AAF"/>
    <w:rsid w:val="003A49FE"/>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5FC5"/>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53B1"/>
    <w:rsid w:val="004B796A"/>
    <w:rsid w:val="004C02A1"/>
    <w:rsid w:val="004C70BC"/>
    <w:rsid w:val="004D3A3B"/>
    <w:rsid w:val="004E5433"/>
    <w:rsid w:val="004E6B96"/>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15EB"/>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5AA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E5930"/>
    <w:rsid w:val="007F4EED"/>
    <w:rsid w:val="007F6FE0"/>
    <w:rsid w:val="007F791A"/>
    <w:rsid w:val="00801D88"/>
    <w:rsid w:val="00802A7B"/>
    <w:rsid w:val="00803B52"/>
    <w:rsid w:val="008042EC"/>
    <w:rsid w:val="008061DD"/>
    <w:rsid w:val="008069AB"/>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622A"/>
    <w:rsid w:val="00BA7B1C"/>
    <w:rsid w:val="00BB220C"/>
    <w:rsid w:val="00BB30F2"/>
    <w:rsid w:val="00BB7336"/>
    <w:rsid w:val="00BC0C1F"/>
    <w:rsid w:val="00BC25D2"/>
    <w:rsid w:val="00BD27B4"/>
    <w:rsid w:val="00BD5BBF"/>
    <w:rsid w:val="00BE4CC7"/>
    <w:rsid w:val="00BE7368"/>
    <w:rsid w:val="00BE7506"/>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4F80"/>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38"/>
    <w:rsid w:val="00F04541"/>
    <w:rsid w:val="00F1140A"/>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03DB"/>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 w:val="00FF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96"/>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asciiTheme="minorHAnsi" w:eastAsiaTheme="minorEastAsia" w:hAnsiTheme="minorHAnsi" w:cstheme="minorBidi"/>
      <w:sz w:val="22"/>
      <w:szCs w:val="22"/>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4E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96"/>
    <w:rPr>
      <w:rFonts w:ascii="Times New Roman" w:hAnsi="Times New Roman" w:cs="Times New Roman"/>
      <w:sz w:val="20"/>
      <w:szCs w:val="20"/>
    </w:rPr>
  </w:style>
  <w:style w:type="paragraph" w:styleId="NoSpacing">
    <w:name w:val="No Spacing"/>
    <w:uiPriority w:val="1"/>
    <w:qFormat/>
    <w:rsid w:val="00FF3999"/>
    <w:pPr>
      <w:spacing w:after="0" w:line="240" w:lineRule="auto"/>
    </w:pPr>
    <w:rPr>
      <w:rFonts w:ascii="Times New Roman" w:hAnsi="Times New Roman"/>
      <w:color w:val="000000" w:themeColor="text1"/>
      <w:sz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2016-06-19T08:19:00Z</dcterms:created>
  <dcterms:modified xsi:type="dcterms:W3CDTF">2016-06-19T08:19:00Z</dcterms:modified>
</cp:coreProperties>
</file>